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096B6">
      <w:pPr>
        <w:keepNext w:val="0"/>
        <w:keepLines w:val="0"/>
        <w:pageBreakBefore/>
        <w:widowControl w:val="0"/>
        <w:kinsoku/>
        <w:overflowPunct/>
        <w:topLinePunct w:val="0"/>
        <w:autoSpaceDE/>
        <w:autoSpaceDN/>
        <w:bidi w:val="0"/>
        <w:spacing w:line="560" w:lineRule="exac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7</w:t>
      </w:r>
      <w:bookmarkStart w:id="0" w:name="_GoBack"/>
      <w:bookmarkEnd w:id="0"/>
    </w:p>
    <w:p w14:paraId="124E2D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075DD3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关于印发《公安机关录用人民警察</w:t>
      </w:r>
    </w:p>
    <w:p w14:paraId="33E6F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体能测评项目和标准》的通知</w:t>
      </w:r>
    </w:p>
    <w:p w14:paraId="4421CC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p>
    <w:p w14:paraId="7B916F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公政治〔2024〕60号</w:t>
      </w:r>
    </w:p>
    <w:p w14:paraId="4C3867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3841535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各省、自治区、直辖市党委组织部、公安厅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新疆生产建设兵团党委组织部、公安局：</w:t>
      </w:r>
    </w:p>
    <w:p w14:paraId="3D2A59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习近平法治思想特别是习近平总书记关于新时代公安工作的重要论述，更好适应深化人民警察招录培养制度改革要求，进一步增强公安机关录用人民警察体能测评的针对性和可操作性，根据有关法律法规和政策规定，中央组织部、公安部修订了《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现印发给你们，请认真执行。</w:t>
      </w:r>
    </w:p>
    <w:p w14:paraId="5C6549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体能测评项目包括10米×4往返跑、1000米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跑和纵跳摸高，其中，综合管理、执法勤务职位测查全部3个项目，警务技术职位免予测查1000米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800米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跑项目。对专业人才紧缺难以形成竞争的特殊职位，经省级以上公务员主管部门同意，可以适当放宽体能测评有关项目标准或者免予测查体能测评项目。凡应测项目中任意一项不达标的，即为体能测评不合格。</w:t>
      </w:r>
    </w:p>
    <w:p w14:paraId="3BF5F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2011年人力资源社会保障部、公安部和原国家公务员局印发的《公安机关录用人民警察体能测评项目和标准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w:t>
      </w:r>
    </w:p>
    <w:p w14:paraId="7A9E9FA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7CD504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附件：1.公安机关录用人民警察体能测评项目和标准</w:t>
      </w:r>
    </w:p>
    <w:p w14:paraId="72B2C22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2.公安机关录用人民警察体能测评实施规则</w:t>
      </w:r>
    </w:p>
    <w:p w14:paraId="056E72C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5D9DDAD7">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6628869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p>
    <w:p w14:paraId="04E19D47">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中共中央组织部办公厅       公安部办公厅</w:t>
      </w:r>
    </w:p>
    <w:p w14:paraId="0A0911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2024年2月28日</w:t>
      </w:r>
    </w:p>
    <w:p w14:paraId="18B13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2363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0CAC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3135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BFEF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5AF38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6445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C830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79A6B10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4406ADD">
      <w:pPr>
        <w:pStyle w:val="2"/>
        <w:rPr>
          <w:rFonts w:hint="eastAsia" w:ascii="Times New Roman" w:hAnsi="Times New Roman" w:eastAsia="仿宋_GB2312" w:cs="Times New Roman"/>
          <w:sz w:val="32"/>
          <w:szCs w:val="32"/>
          <w:lang w:eastAsia="zh-CN"/>
        </w:rPr>
      </w:pPr>
    </w:p>
    <w:p w14:paraId="5CF29716">
      <w:pPr>
        <w:pStyle w:val="2"/>
        <w:rPr>
          <w:rFonts w:hint="eastAsia" w:ascii="Times New Roman" w:hAnsi="Times New Roman" w:eastAsia="仿宋_GB2312" w:cs="Times New Roman"/>
          <w:sz w:val="32"/>
          <w:szCs w:val="32"/>
          <w:lang w:eastAsia="zh-CN"/>
        </w:rPr>
      </w:pPr>
    </w:p>
    <w:p w14:paraId="69BC6C4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附件1</w:t>
      </w:r>
    </w:p>
    <w:p w14:paraId="3128CB1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3292CF3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color w:val="auto"/>
          <w:kern w:val="0"/>
          <w:sz w:val="30"/>
          <w:szCs w:val="30"/>
        </w:rPr>
      </w:pPr>
    </w:p>
    <w:p w14:paraId="4461B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公安机关录用人民警察体能测评</w:t>
      </w:r>
    </w:p>
    <w:p w14:paraId="36D403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项目和标准</w:t>
      </w:r>
    </w:p>
    <w:p w14:paraId="2E7F89A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50E935D3">
      <w:pPr>
        <w:keepNext w:val="0"/>
        <w:keepLines w:val="0"/>
        <w:pageBreakBefore w:val="0"/>
        <w:widowControl/>
        <w:kinsoku/>
        <w:wordWrap/>
        <w:overflowPunct/>
        <w:topLinePunct w:val="0"/>
        <w:autoSpaceDE/>
        <w:autoSpaceDN/>
        <w:bidi w:val="0"/>
        <w:adjustRightInd/>
        <w:snapToGrid/>
        <w:spacing w:line="590" w:lineRule="exact"/>
        <w:ind w:firstLine="630"/>
        <w:jc w:val="left"/>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（一）男子组</w:t>
      </w:r>
    </w:p>
    <w:tbl>
      <w:tblPr>
        <w:tblStyle w:val="6"/>
        <w:tblpPr w:leftFromText="180" w:rightFromText="180" w:vertAnchor="text" w:horzAnchor="page" w:tblpX="2199" w:tblpY="153"/>
        <w:tblOverlap w:val="never"/>
        <w:tblW w:w="43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157"/>
        <w:gridCol w:w="2308"/>
      </w:tblGrid>
      <w:tr w14:paraId="3255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restart"/>
            <w:tcBorders>
              <w:top w:val="single" w:color="auto" w:sz="4" w:space="0"/>
              <w:left w:val="single" w:color="auto" w:sz="4" w:space="0"/>
              <w:bottom w:val="single" w:color="auto" w:sz="4" w:space="0"/>
              <w:right w:val="single" w:color="auto" w:sz="4" w:space="0"/>
            </w:tcBorders>
            <w:noWrap w:val="0"/>
            <w:vAlign w:val="center"/>
          </w:tcPr>
          <w:p w14:paraId="77087C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577449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113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Merge w:val="continue"/>
            <w:tcBorders>
              <w:top w:val="single" w:color="auto" w:sz="4" w:space="0"/>
              <w:left w:val="single" w:color="auto" w:sz="4" w:space="0"/>
              <w:bottom w:val="single" w:color="auto" w:sz="4" w:space="0"/>
              <w:right w:val="single" w:color="auto" w:sz="4" w:space="0"/>
            </w:tcBorders>
            <w:noWrap w:val="0"/>
            <w:vAlign w:val="center"/>
          </w:tcPr>
          <w:p w14:paraId="0086AA4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kern w:val="0"/>
                <w:sz w:val="28"/>
                <w:szCs w:val="28"/>
              </w:rPr>
            </w:pPr>
          </w:p>
        </w:tc>
        <w:tc>
          <w:tcPr>
            <w:tcW w:w="1986" w:type="pct"/>
            <w:tcBorders>
              <w:top w:val="single" w:color="auto" w:sz="4" w:space="0"/>
              <w:left w:val="single" w:color="auto" w:sz="4" w:space="0"/>
              <w:bottom w:val="single" w:color="auto" w:sz="4" w:space="0"/>
              <w:right w:val="single" w:color="auto" w:sz="4" w:space="0"/>
            </w:tcBorders>
            <w:noWrap w:val="0"/>
            <w:vAlign w:val="center"/>
          </w:tcPr>
          <w:p w14:paraId="0390A6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30岁（含）以下</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19192D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31岁（含）以上</w:t>
            </w:r>
          </w:p>
        </w:tc>
      </w:tr>
      <w:tr w14:paraId="2D17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4426D4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10米×4往返跑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56240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0A659D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≤13</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77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7D8583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1000米跑</w:t>
            </w:r>
          </w:p>
        </w:tc>
        <w:tc>
          <w:tcPr>
            <w:tcW w:w="1986" w:type="pct"/>
            <w:tcBorders>
              <w:top w:val="single" w:color="auto" w:sz="4" w:space="0"/>
              <w:left w:val="single" w:color="auto" w:sz="4" w:space="0"/>
              <w:bottom w:val="single" w:color="auto" w:sz="4" w:space="0"/>
              <w:right w:val="single" w:color="auto" w:sz="4" w:space="0"/>
            </w:tcBorders>
            <w:noWrap w:val="0"/>
            <w:vAlign w:val="center"/>
          </w:tcPr>
          <w:p w14:paraId="16FDB9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25</w:t>
            </w:r>
            <w:r>
              <w:rPr>
                <w:rFonts w:hint="default" w:ascii="Times New Roman" w:hAnsi="Times New Roman" w:eastAsia="方正仿宋_GBK" w:cs="Times New Roman"/>
                <w:color w:val="auto"/>
                <w:kern w:val="0"/>
                <w:sz w:val="28"/>
                <w:szCs w:val="28"/>
              </w:rPr>
              <w:t>″</w:t>
            </w:r>
          </w:p>
        </w:tc>
        <w:tc>
          <w:tcPr>
            <w:tcW w:w="1452" w:type="pct"/>
            <w:tcBorders>
              <w:top w:val="single" w:color="auto" w:sz="4" w:space="0"/>
              <w:left w:val="single" w:color="auto" w:sz="4" w:space="0"/>
              <w:bottom w:val="single" w:color="auto" w:sz="4" w:space="0"/>
              <w:right w:val="single" w:color="auto" w:sz="4" w:space="0"/>
            </w:tcBorders>
            <w:noWrap w:val="0"/>
            <w:vAlign w:val="center"/>
          </w:tcPr>
          <w:p w14:paraId="7A5E4B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35</w:t>
            </w:r>
            <w:r>
              <w:rPr>
                <w:rFonts w:hint="default" w:ascii="Times New Roman" w:hAnsi="Times New Roman" w:eastAsia="方正仿宋_GBK" w:cs="Times New Roman"/>
                <w:color w:val="auto"/>
                <w:kern w:val="0"/>
                <w:sz w:val="28"/>
                <w:szCs w:val="28"/>
              </w:rPr>
              <w:t>″</w:t>
            </w:r>
          </w:p>
        </w:tc>
      </w:tr>
      <w:tr w14:paraId="1DC5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Borders>
              <w:top w:val="single" w:color="auto" w:sz="4" w:space="0"/>
              <w:left w:val="single" w:color="auto" w:sz="4" w:space="0"/>
              <w:bottom w:val="single" w:color="auto" w:sz="4" w:space="0"/>
              <w:right w:val="single" w:color="auto" w:sz="4" w:space="0"/>
            </w:tcBorders>
            <w:noWrap w:val="0"/>
            <w:vAlign w:val="center"/>
          </w:tcPr>
          <w:p w14:paraId="34A276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纵跳摸高</w:t>
            </w:r>
          </w:p>
        </w:tc>
        <w:tc>
          <w:tcPr>
            <w:tcW w:w="3438" w:type="pct"/>
            <w:gridSpan w:val="2"/>
            <w:tcBorders>
              <w:top w:val="single" w:color="auto" w:sz="4" w:space="0"/>
              <w:left w:val="single" w:color="auto" w:sz="4" w:space="0"/>
              <w:bottom w:val="single" w:color="auto" w:sz="4" w:space="0"/>
              <w:right w:val="single" w:color="auto" w:sz="4" w:space="0"/>
            </w:tcBorders>
            <w:noWrap w:val="0"/>
            <w:vAlign w:val="center"/>
          </w:tcPr>
          <w:p w14:paraId="283E5B8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Cs/>
                <w:color w:val="auto"/>
                <w:kern w:val="0"/>
                <w:sz w:val="28"/>
                <w:szCs w:val="28"/>
              </w:rPr>
              <w:t>≥265厘米</w:t>
            </w:r>
          </w:p>
        </w:tc>
      </w:tr>
    </w:tbl>
    <w:p w14:paraId="10A0F644">
      <w:pPr>
        <w:keepNext w:val="0"/>
        <w:keepLines w:val="0"/>
        <w:pageBreakBefore w:val="0"/>
        <w:widowControl/>
        <w:kinsoku/>
        <w:wordWrap/>
        <w:overflowPunct/>
        <w:topLinePunct w:val="0"/>
        <w:autoSpaceDE/>
        <w:autoSpaceDN/>
        <w:bidi w:val="0"/>
        <w:adjustRightInd/>
        <w:snapToGrid/>
        <w:spacing w:line="590" w:lineRule="exact"/>
        <w:ind w:firstLine="548" w:firstLineChars="196"/>
        <w:jc w:val="left"/>
        <w:textAlignment w:val="auto"/>
        <w:rPr>
          <w:rFonts w:hint="default" w:ascii="Times New Roman" w:hAnsi="Times New Roman" w:eastAsia="方正仿宋_GBK" w:cs="Times New Roman"/>
          <w:bCs/>
          <w:color w:val="auto"/>
          <w:kern w:val="0"/>
          <w:sz w:val="28"/>
          <w:szCs w:val="28"/>
        </w:rPr>
      </w:pPr>
    </w:p>
    <w:p w14:paraId="2085BBC6">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r>
        <w:rPr>
          <w:rFonts w:hint="default" w:ascii="Times New Roman" w:hAnsi="Times New Roman" w:eastAsia="方正仿宋_GBK" w:cs="Times New Roman"/>
          <w:bCs/>
          <w:color w:val="auto"/>
          <w:kern w:val="0"/>
          <w:sz w:val="30"/>
          <w:szCs w:val="30"/>
        </w:rPr>
        <w:t>（</w:t>
      </w:r>
    </w:p>
    <w:p w14:paraId="5E886C9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030756BE">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34F1DF71">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方正仿宋_GBK" w:cs="Times New Roman"/>
          <w:bCs/>
          <w:color w:val="auto"/>
          <w:kern w:val="0"/>
          <w:sz w:val="30"/>
          <w:szCs w:val="30"/>
        </w:rPr>
      </w:pPr>
    </w:p>
    <w:p w14:paraId="70E7C56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Cs/>
          <w:color w:val="auto"/>
          <w:kern w:val="0"/>
          <w:sz w:val="30"/>
          <w:szCs w:val="30"/>
        </w:rPr>
      </w:pPr>
    </w:p>
    <w:p w14:paraId="08DB1C34">
      <w:pPr>
        <w:keepNext w:val="0"/>
        <w:keepLines w:val="0"/>
        <w:pageBreakBefore w:val="0"/>
        <w:widowControl/>
        <w:kinsoku/>
        <w:wordWrap/>
        <w:overflowPunct/>
        <w:topLinePunct w:val="0"/>
        <w:autoSpaceDE/>
        <w:autoSpaceDN/>
        <w:bidi w:val="0"/>
        <w:adjustRightInd/>
        <w:snapToGrid/>
        <w:spacing w:line="590" w:lineRule="exact"/>
        <w:ind w:firstLine="588" w:firstLineChars="196"/>
        <w:jc w:val="left"/>
        <w:textAlignment w:val="auto"/>
        <w:rPr>
          <w:rFonts w:hint="default" w:ascii="Times New Roman" w:hAnsi="Times New Roman" w:eastAsia="仿宋_GB2312" w:cs="Times New Roman"/>
          <w:color w:val="auto"/>
          <w:kern w:val="0"/>
          <w:sz w:val="24"/>
        </w:rPr>
      </w:pPr>
      <w:r>
        <w:rPr>
          <w:rFonts w:hint="default" w:ascii="Times New Roman" w:hAnsi="Times New Roman" w:eastAsia="方正仿宋_GBK" w:cs="Times New Roman"/>
          <w:color w:val="auto"/>
          <w:kern w:val="0"/>
          <w:sz w:val="30"/>
          <w:szCs w:val="30"/>
        </w:rPr>
        <w:t>（</w:t>
      </w:r>
      <w:r>
        <w:rPr>
          <w:rFonts w:hint="eastAsia" w:ascii="Times New Roman" w:hAnsi="Times New Roman" w:eastAsia="方正仿宋_GBK" w:cs="Times New Roman"/>
          <w:color w:val="auto"/>
          <w:kern w:val="0"/>
          <w:sz w:val="30"/>
          <w:szCs w:val="30"/>
          <w:lang w:val="en-US" w:eastAsia="zh-CN"/>
        </w:rPr>
        <w:t>二</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bCs/>
          <w:color w:val="auto"/>
          <w:kern w:val="0"/>
          <w:sz w:val="30"/>
          <w:szCs w:val="30"/>
        </w:rPr>
        <w:t>女子组</w:t>
      </w:r>
    </w:p>
    <w:tbl>
      <w:tblPr>
        <w:tblStyle w:val="6"/>
        <w:tblpPr w:leftFromText="180" w:rightFromText="180" w:vertAnchor="text" w:horzAnchor="page" w:tblpX="2161"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3173"/>
        <w:gridCol w:w="2312"/>
      </w:tblGrid>
      <w:tr w14:paraId="767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restart"/>
            <w:tcBorders>
              <w:top w:val="single" w:color="auto" w:sz="4" w:space="0"/>
              <w:left w:val="single" w:color="auto" w:sz="4" w:space="0"/>
              <w:bottom w:val="single" w:color="auto" w:sz="4" w:space="0"/>
              <w:right w:val="single" w:color="auto" w:sz="4" w:space="0"/>
            </w:tcBorders>
            <w:noWrap w:val="0"/>
            <w:vAlign w:val="center"/>
          </w:tcPr>
          <w:p w14:paraId="3DFE7B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项目</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69DF14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标  准</w:t>
            </w:r>
          </w:p>
        </w:tc>
      </w:tr>
      <w:tr w14:paraId="4B74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Merge w:val="continue"/>
            <w:tcBorders>
              <w:top w:val="single" w:color="auto" w:sz="4" w:space="0"/>
              <w:left w:val="single" w:color="auto" w:sz="4" w:space="0"/>
              <w:bottom w:val="single" w:color="auto" w:sz="4" w:space="0"/>
              <w:right w:val="single" w:color="auto" w:sz="4" w:space="0"/>
            </w:tcBorders>
            <w:noWrap w:val="0"/>
            <w:vAlign w:val="center"/>
          </w:tcPr>
          <w:p w14:paraId="182E9C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6188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30岁（含）以下</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34D5AA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31岁（含）以上</w:t>
            </w:r>
          </w:p>
        </w:tc>
      </w:tr>
      <w:tr w14:paraId="01C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00E73F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10米X4往返跑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17234A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1</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9D54E9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≤14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4</w:t>
            </w:r>
          </w:p>
        </w:tc>
      </w:tr>
      <w:tr w14:paraId="4DE2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742E06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800米跑</w:t>
            </w:r>
          </w:p>
        </w:tc>
        <w:tc>
          <w:tcPr>
            <w:tcW w:w="3173" w:type="dxa"/>
            <w:tcBorders>
              <w:top w:val="single" w:color="auto" w:sz="4" w:space="0"/>
              <w:left w:val="single" w:color="auto" w:sz="4" w:space="0"/>
              <w:bottom w:val="single" w:color="auto" w:sz="4" w:space="0"/>
              <w:right w:val="single" w:color="auto" w:sz="4" w:space="0"/>
            </w:tcBorders>
            <w:noWrap w:val="0"/>
            <w:vAlign w:val="center"/>
          </w:tcPr>
          <w:p w14:paraId="0F9223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20</w:t>
            </w:r>
            <w:r>
              <w:rPr>
                <w:rFonts w:hint="default" w:ascii="Times New Roman" w:hAnsi="Times New Roman" w:eastAsia="方正仿宋_GBK" w:cs="Times New Roman"/>
                <w:color w:val="auto"/>
                <w:kern w:val="0"/>
                <w:sz w:val="28"/>
                <w:szCs w:val="28"/>
              </w:rPr>
              <w:t>″</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08B33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≤4</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bCs/>
                <w:color w:val="auto"/>
                <w:kern w:val="0"/>
                <w:sz w:val="28"/>
                <w:szCs w:val="28"/>
              </w:rPr>
              <w:t>30</w:t>
            </w:r>
            <w:r>
              <w:rPr>
                <w:rFonts w:hint="default" w:ascii="Times New Roman" w:hAnsi="Times New Roman" w:eastAsia="方正仿宋_GBK" w:cs="Times New Roman"/>
                <w:color w:val="auto"/>
                <w:kern w:val="0"/>
                <w:sz w:val="28"/>
                <w:szCs w:val="28"/>
              </w:rPr>
              <w:t>″</w:t>
            </w:r>
          </w:p>
        </w:tc>
      </w:tr>
      <w:tr w14:paraId="453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Borders>
              <w:top w:val="single" w:color="auto" w:sz="4" w:space="0"/>
              <w:left w:val="single" w:color="auto" w:sz="4" w:space="0"/>
              <w:bottom w:val="single" w:color="auto" w:sz="4" w:space="0"/>
              <w:right w:val="single" w:color="auto" w:sz="4" w:space="0"/>
            </w:tcBorders>
            <w:noWrap w:val="0"/>
            <w:vAlign w:val="center"/>
          </w:tcPr>
          <w:p w14:paraId="2BD9D6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纵跳摸高</w:t>
            </w:r>
          </w:p>
        </w:tc>
        <w:tc>
          <w:tcPr>
            <w:tcW w:w="5485" w:type="dxa"/>
            <w:gridSpan w:val="2"/>
            <w:tcBorders>
              <w:top w:val="single" w:color="auto" w:sz="4" w:space="0"/>
              <w:left w:val="single" w:color="auto" w:sz="4" w:space="0"/>
              <w:bottom w:val="single" w:color="auto" w:sz="4" w:space="0"/>
              <w:right w:val="single" w:color="auto" w:sz="4" w:space="0"/>
            </w:tcBorders>
            <w:noWrap w:val="0"/>
            <w:vAlign w:val="center"/>
          </w:tcPr>
          <w:p w14:paraId="7CD18B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≥230厘米</w:t>
            </w:r>
          </w:p>
        </w:tc>
      </w:tr>
    </w:tbl>
    <w:p w14:paraId="4D06533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6A8F028C">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备注</w:t>
      </w:r>
      <w:r>
        <w:rPr>
          <w:rFonts w:hint="eastAsia" w:ascii="Times New Roman" w:hAnsi="Times New Roman" w:eastAsia="仿宋_GB2312" w:cs="Times New Roman"/>
          <w:sz w:val="32"/>
          <w:szCs w:val="32"/>
          <w:lang w:eastAsia="zh-CN"/>
        </w:rPr>
        <w:t>：年龄计算时间截止到参加体能测评当月。</w:t>
      </w:r>
    </w:p>
    <w:p w14:paraId="183F4FBB">
      <w:pPr>
        <w:pStyle w:val="2"/>
        <w:ind w:left="0" w:leftChars="0" w:firstLine="0" w:firstLineChars="0"/>
        <w:rPr>
          <w:rFonts w:hint="eastAsia"/>
          <w:lang w:eastAsia="zh-CN"/>
        </w:rPr>
      </w:pPr>
    </w:p>
    <w:p w14:paraId="11D0470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附件2</w:t>
      </w:r>
    </w:p>
    <w:p w14:paraId="4AA5827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241539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sz w:val="44"/>
          <w:szCs w:val="44"/>
          <w:lang w:eastAsia="zh-CN"/>
        </w:rPr>
      </w:pPr>
      <w:r>
        <w:rPr>
          <w:rFonts w:hint="default" w:ascii="方正公文小标宋" w:hAnsi="方正公文小标宋" w:eastAsia="方正公文小标宋" w:cs="方正公文小标宋"/>
          <w:sz w:val="44"/>
          <w:szCs w:val="44"/>
          <w:lang w:eastAsia="zh-CN"/>
        </w:rPr>
        <w:t>公安机关录用人民警察体能测评实施规则</w:t>
      </w:r>
    </w:p>
    <w:p w14:paraId="64B8257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eastAsia="zh-CN"/>
        </w:rPr>
      </w:pPr>
    </w:p>
    <w:p w14:paraId="4609B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一、10米×4往返跑</w:t>
      </w:r>
    </w:p>
    <w:p w14:paraId="0BD67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场地器材：场地为10米长的直线跑道，在跑道的两端各划一条5cm宽直线(S1和S2)，将木块(10cm×5cm×5cm)按每道3块竖立摆放(其中2块放在S2线上，1块放在S1线上)，秒表若干块。</w:t>
      </w:r>
    </w:p>
    <w:p w14:paraId="17E1345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场地图示</w:t>
      </w:r>
    </w:p>
    <w:p w14:paraId="1CEEA608">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r>
        <w:rPr>
          <w:position w:val="-109"/>
          <w:sz w:val="32"/>
          <w:szCs w:val="32"/>
        </w:rPr>
        <w:drawing>
          <wp:anchor distT="0" distB="0" distL="0" distR="0" simplePos="0" relativeHeight="251659264" behindDoc="1" locked="0" layoutInCell="1" allowOverlap="1">
            <wp:simplePos x="0" y="0"/>
            <wp:positionH relativeFrom="column">
              <wp:posOffset>1066800</wp:posOffset>
            </wp:positionH>
            <wp:positionV relativeFrom="paragraph">
              <wp:posOffset>135255</wp:posOffset>
            </wp:positionV>
            <wp:extent cx="3683000" cy="2145665"/>
            <wp:effectExtent l="0" t="0" r="12700" b="6985"/>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
                    <a:stretch>
                      <a:fillRect/>
                    </a:stretch>
                  </pic:blipFill>
                  <pic:spPr>
                    <a:xfrm>
                      <a:off x="0" y="0"/>
                      <a:ext cx="3683000" cy="2145665"/>
                    </a:xfrm>
                    <a:prstGeom prst="rect">
                      <a:avLst/>
                    </a:prstGeom>
                  </pic:spPr>
                </pic:pic>
              </a:graphicData>
            </a:graphic>
          </wp:anchor>
        </w:drawing>
      </w:r>
    </w:p>
    <w:p w14:paraId="00B930F3">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黑体" w:hAnsi="黑体" w:eastAsia="黑体" w:cs="黑体"/>
          <w:sz w:val="32"/>
          <w:szCs w:val="32"/>
          <w:lang w:eastAsia="zh-CN"/>
        </w:rPr>
      </w:pPr>
    </w:p>
    <w:p w14:paraId="7660994B">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4ED21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标志物</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标志物</w:t>
      </w:r>
    </w:p>
    <w:p w14:paraId="6F79518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14:paraId="43F72E1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14ADD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组测方法：发令员、计时员、监督员、成绩记录员若干名。按组别进行测试，每人最多可测2次，1次测评达标，即视为该项目测评合格。成绩以“秒”为单位，保留1位小数，第2位小数非“0”时则进1。</w:t>
      </w:r>
    </w:p>
    <w:p w14:paraId="7CF9D0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动作要求：受测试者采用站立式起跑，听到发令后从S1线外跑到S2线前(脚不得踩线)用手将竖立的木块推倒后折返，往返跑2次，每次推倒1个木块，第2次返回时冲出S1线。</w:t>
      </w:r>
    </w:p>
    <w:p w14:paraId="3877A0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3F9B1B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3C2624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2.折返时脚踩S1或S2线；</w:t>
      </w:r>
    </w:p>
    <w:p w14:paraId="11D8AD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3.折返时未推倒木块。</w:t>
      </w:r>
    </w:p>
    <w:p w14:paraId="43CD0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二、男子1000米跑、女子800米跑</w:t>
      </w:r>
    </w:p>
    <w:p w14:paraId="2A4CCD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场地器材：400米标准田径场，发令枪、发令旗、秒表、号码标识若干。</w:t>
      </w:r>
    </w:p>
    <w:p w14:paraId="36773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发令员、计时员、弯道检查员、监督员、成绩记录员若干名。按组别进行测试，每人最多可测1次。计时员看到发令信号计时开始，当受测试者躯干越过终点线时停表。计时员准确计时，记录员负责登记每人成绩。成绩以“分+秒”为单位，不保留小数位，小数位非“0”时则进1。</w:t>
      </w:r>
    </w:p>
    <w:p w14:paraId="35EB6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动作要求：受测试者统一采用站立式起跑姿势，在起跑线外听到或看到发令信号时开始起跑，跑完相应距离越过终点线后视为完成测试。</w:t>
      </w:r>
    </w:p>
    <w:p w14:paraId="45BE8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2F13C9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1.出发时抢跑；</w:t>
      </w:r>
    </w:p>
    <w:p w14:paraId="28EE3F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2.出发时脚踩线；</w:t>
      </w:r>
    </w:p>
    <w:p w14:paraId="396EC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3.途中跑时超越或踩踏最内侧跑道线。</w:t>
      </w:r>
    </w:p>
    <w:p w14:paraId="361AA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三、纵跳摸高</w:t>
      </w:r>
    </w:p>
    <w:p w14:paraId="305E02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场地器材：通常在室内场地测试，起跳处铺垫厚度不超过2厘米的硬质无弹性垫子。如选择室外场地测试，需在天气状况许可的情况下进行，当天平均气温应在15—35摄氏度之间，无太阳直射、风力不超过3级。</w:t>
      </w:r>
    </w:p>
    <w:p w14:paraId="53D5E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组测方法：裁判员、监督员、成绩记录员若干名。按组别进行测试，每人最多可测3次，1次测试达标，即视为该项目测试合格，3次均未达标者视为不合格。成绩仅为“合格”或“不合格”两项。</w:t>
      </w:r>
    </w:p>
    <w:p w14:paraId="2FDD2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14:paraId="5C3D3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注意事项：测试时有以下任一情况，不计取成绩：</w:t>
      </w:r>
    </w:p>
    <w:p w14:paraId="135FF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1.起跳时双腿有移动或有垫步动作；</w:t>
      </w:r>
    </w:p>
    <w:p w14:paraId="55D77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2.手指甲超过指尖0.3厘米；</w:t>
      </w:r>
    </w:p>
    <w:p w14:paraId="3EB909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3.戴手套等其他物品；</w:t>
      </w:r>
    </w:p>
    <w:p w14:paraId="42C0C3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4.穿鞋进行测试。</w:t>
      </w:r>
    </w:p>
    <w:p w14:paraId="26C536CE">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p w14:paraId="76A759E2">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Times New Roman" w:hAnsi="Times New Roman" w:eastAsia="仿宋_GB2312" w:cs="Times New Roman"/>
          <w:sz w:val="32"/>
          <w:szCs w:val="32"/>
          <w:lang w:eastAsia="zh-CN"/>
        </w:rPr>
      </w:pPr>
    </w:p>
    <w:sectPr>
      <w:footerReference r:id="rId3" w:type="default"/>
      <w:pgSz w:w="11906" w:h="16838"/>
      <w:pgMar w:top="1723" w:right="1519" w:bottom="161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51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1C7FB">
                    <w:pPr>
                      <w:pStyle w:val="4"/>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EA35CB0"/>
    <w:rsid w:val="0EA35CB0"/>
    <w:rsid w:val="23A202CD"/>
    <w:rsid w:val="3B9C16B0"/>
    <w:rsid w:val="3F274297"/>
    <w:rsid w:val="85FDD70B"/>
    <w:rsid w:val="8DFBE8F5"/>
    <w:rsid w:val="BFCE83EE"/>
    <w:rsid w:val="EFF1A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semiHidden/>
    <w:qFormat/>
    <w:uiPriority w:val="0"/>
    <w:rPr>
      <w:rFonts w:ascii="仿宋" w:hAnsi="仿宋" w:eastAsia="仿宋" w:cs="仿宋"/>
      <w:sz w:val="64"/>
      <w:szCs w:val="6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1763</Characters>
  <Lines>0</Lines>
  <Paragraphs>0</Paragraphs>
  <TotalTime>0</TotalTime>
  <ScaleCrop>false</ScaleCrop>
  <LinksUpToDate>false</LinksUpToDate>
  <CharactersWithSpaces>1845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2024-04-02T19:24:00Z</dcterms:created>
  <dc:creator>林寂</dc:creator>
  <cp:lastModifiedBy>greatwall</cp:lastModifiedBy>
  <cp:lastPrinted>2024-11-22T20:39:00Z</cp:lastPrinted>
  <dcterms:modified xsi:type="dcterms:W3CDTF">2025-04-14T11:51:58Z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5EA4A54F20C3439E8C665FB33107F364_11</vt:lpwstr>
  </property>
  <property fmtid="{D5CDD505-2E9C-101B-9397-08002B2CF9AE}" pid="4" name="KSOTemplateDocerSaveRecord">
    <vt:lpwstr>eyJoZGlkIjoiZTdiYTc4MDUxNmI5NDRkN2E0MTUyN2RhMjVjN2JlNzAiLCJ1c2VySWQiOiI1ODQzNzQ1NTUifQ==</vt:lpwstr>
  </property>
</Properties>
</file>