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000000" w:themeColor="text1"/>
          <w:sz w:val="28"/>
          <w:szCs w:val="28"/>
          <w:lang w:val="en-US" w:eastAsia="zh-CN"/>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附件</w:t>
      </w:r>
      <w:r>
        <w:rPr>
          <w:rFonts w:hint="eastAsia" w:ascii="黑体" w:hAnsi="黑体" w:eastAsia="黑体" w:cs="黑体"/>
          <w:color w:val="000000" w:themeColor="text1"/>
          <w:sz w:val="28"/>
          <w:szCs w:val="28"/>
          <w:lang w:val="en-US" w:eastAsia="zh-CN"/>
          <w14:textFill>
            <w14:solidFill>
              <w14:schemeClr w14:val="tx1"/>
            </w14:solidFill>
          </w14:textFill>
        </w:rPr>
        <w:t>2</w:t>
      </w:r>
    </w:p>
    <w:p>
      <w:pPr>
        <w:ind w:firstLine="2640" w:firstLineChars="600"/>
        <w:jc w:val="both"/>
        <w:rPr>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考试疫情防控要求</w:t>
      </w: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line="520" w:lineRule="exact"/>
        <w:ind w:left="108" w:right="272" w:firstLine="675"/>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为切实保障广大考生身体健康，确保本次考试安全有序进行，根据《新冠病毒肺炎防控方案（第九版）》精神及省、市最新疫情防控政策，请考生仔细阅读以下内容：</w:t>
      </w:r>
    </w:p>
    <w:p>
      <w:pPr>
        <w:pStyle w:val="3"/>
        <w:keepNext w:val="0"/>
        <w:keepLines w:val="0"/>
        <w:pageBreakBefore w:val="0"/>
        <w:widowControl w:val="0"/>
        <w:kinsoku/>
        <w:wordWrap/>
        <w:overflowPunct/>
        <w:topLinePunct w:val="0"/>
        <w:autoSpaceDE/>
        <w:autoSpaceDN/>
        <w:bidi w:val="0"/>
        <w:adjustRightInd/>
        <w:snapToGrid/>
        <w:spacing w:line="520" w:lineRule="exact"/>
        <w:ind w:left="108" w:right="272" w:firstLine="675"/>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疫苗的考生尽快完成接种。</w:t>
      </w:r>
    </w:p>
    <w:p>
      <w:pPr>
        <w:pStyle w:val="3"/>
        <w:keepNext w:val="0"/>
        <w:keepLines w:val="0"/>
        <w:pageBreakBefore w:val="0"/>
        <w:widowControl w:val="0"/>
        <w:kinsoku/>
        <w:wordWrap/>
        <w:overflowPunct/>
        <w:topLinePunct w:val="0"/>
        <w:autoSpaceDE/>
        <w:autoSpaceDN/>
        <w:bidi w:val="0"/>
        <w:adjustRightInd/>
        <w:snapToGrid/>
        <w:spacing w:line="520" w:lineRule="exact"/>
        <w:ind w:left="108" w:right="272" w:firstLine="675"/>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考生要主动配合落实防疫要求：</w:t>
      </w:r>
    </w:p>
    <w:p>
      <w:pPr>
        <w:pStyle w:val="3"/>
        <w:keepNext w:val="0"/>
        <w:keepLines w:val="0"/>
        <w:pageBreakBefore w:val="0"/>
        <w:widowControl w:val="0"/>
        <w:kinsoku/>
        <w:wordWrap/>
        <w:overflowPunct/>
        <w:topLinePunct w:val="0"/>
        <w:autoSpaceDE/>
        <w:autoSpaceDN/>
        <w:bidi w:val="0"/>
        <w:adjustRightInd/>
        <w:snapToGrid/>
        <w:spacing w:line="520" w:lineRule="exact"/>
        <w:ind w:left="108" w:right="272" w:firstLine="675"/>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（1）考前7天有疫情高风险地区旅居史的考生，需落实7天集中隔离，并提供第1、2、3、5、7天核酸检测阴性证明（管理时限自离开风险地区之日起算）方可参加考试。</w:t>
      </w:r>
    </w:p>
    <w:p>
      <w:pPr>
        <w:pStyle w:val="3"/>
        <w:keepNext w:val="0"/>
        <w:keepLines w:val="0"/>
        <w:pageBreakBefore w:val="0"/>
        <w:widowControl w:val="0"/>
        <w:kinsoku/>
        <w:wordWrap/>
        <w:overflowPunct/>
        <w:topLinePunct w:val="0"/>
        <w:autoSpaceDE/>
        <w:autoSpaceDN/>
        <w:bidi w:val="0"/>
        <w:adjustRightInd/>
        <w:snapToGrid/>
        <w:spacing w:line="520" w:lineRule="exact"/>
        <w:ind w:left="108" w:right="272" w:firstLine="675"/>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（2）考前7天有疫情中风险地区旅居史的考生，需落实7天居家隔离，并提供第1、4、7天核酸检测阴性证明（管理时限自离开风险地区之日起算）方可参加考试。</w:t>
      </w:r>
    </w:p>
    <w:p>
      <w:pPr>
        <w:pStyle w:val="3"/>
        <w:keepNext w:val="0"/>
        <w:keepLines w:val="0"/>
        <w:pageBreakBefore w:val="0"/>
        <w:widowControl w:val="0"/>
        <w:kinsoku/>
        <w:wordWrap/>
        <w:overflowPunct/>
        <w:topLinePunct w:val="0"/>
        <w:autoSpaceDE/>
        <w:autoSpaceDN/>
        <w:bidi w:val="0"/>
        <w:adjustRightInd/>
        <w:snapToGrid/>
        <w:spacing w:line="520" w:lineRule="exact"/>
        <w:ind w:right="272" w:firstLine="640" w:firstLineChars="200"/>
        <w:jc w:val="both"/>
        <w:textAlignment w:val="auto"/>
        <w:rPr>
          <w:rFonts w:hint="eastAsia" w:ascii="Times New Roman" w:hAnsi="Times New Roman"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（3）考前7天有高、中风险地区所在县（区）的低风险地区旅居史的考生，需提供离开疫情发生地所在县（区）后3天2次核酸检测阴性证明（2次采样至少间隔24小时）方可参加考试</w:t>
      </w:r>
      <w:r>
        <w:rPr>
          <w:rFonts w:hint="eastAsia" w:ascii="Times New Roman" w:hAnsi="Times New Roman" w:cs="Times New Roman"/>
          <w:color w:val="000000" w:themeColor="text1"/>
          <w:sz w:val="32"/>
          <w:szCs w:val="32"/>
          <w:lang w:eastAsia="zh-CN"/>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line="520" w:lineRule="exact"/>
        <w:ind w:right="272"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所有考生需提供考前48小时内核酸检测阴性证明（纸质或电子版）；对于符合本地防疫政策的省外考生，施行“两次核酸检测”的防疫举措，即持有抵肥前48小时内核酸检测阴性证明和抵肥后、考前24小时内核酸检测阴性证明。</w:t>
      </w:r>
    </w:p>
    <w:p>
      <w:pPr>
        <w:pStyle w:val="3"/>
        <w:keepNext w:val="0"/>
        <w:keepLines w:val="0"/>
        <w:pageBreakBefore w:val="0"/>
        <w:widowControl w:val="0"/>
        <w:kinsoku/>
        <w:wordWrap/>
        <w:overflowPunct/>
        <w:topLinePunct w:val="0"/>
        <w:autoSpaceDE/>
        <w:autoSpaceDN/>
        <w:bidi w:val="0"/>
        <w:adjustRightInd/>
        <w:snapToGrid/>
        <w:spacing w:line="520" w:lineRule="exact"/>
        <w:ind w:right="272"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建议省外低风险地区考生在考前3天来肥，以免出现无法如期参加考试的情况；同时减少社交活动，不聚集、聚餐、聚会等，避免前往人员密集场所。</w:t>
      </w:r>
    </w:p>
    <w:p>
      <w:pPr>
        <w:pStyle w:val="3"/>
        <w:keepNext w:val="0"/>
        <w:keepLines w:val="0"/>
        <w:pageBreakBefore w:val="0"/>
        <w:widowControl w:val="0"/>
        <w:kinsoku/>
        <w:wordWrap/>
        <w:overflowPunct/>
        <w:topLinePunct w:val="0"/>
        <w:autoSpaceDE/>
        <w:autoSpaceDN/>
        <w:bidi w:val="0"/>
        <w:adjustRightInd/>
        <w:snapToGrid/>
        <w:spacing w:line="520" w:lineRule="exact"/>
        <w:ind w:right="272"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考生应至少提前60分钟到达考点，根据疫情防控要求，在考点入口处设置测温、扫码，只有提供安康码、7天内行程码“绿码”、核酸检测阴性证明、在严格使用含酒精的消毒用品进行手部消毒后，方可进入考点参加考试。</w:t>
      </w:r>
    </w:p>
    <w:p>
      <w:pPr>
        <w:pStyle w:val="3"/>
        <w:keepNext w:val="0"/>
        <w:keepLines w:val="0"/>
        <w:pageBreakBefore w:val="0"/>
        <w:widowControl w:val="0"/>
        <w:kinsoku/>
        <w:wordWrap/>
        <w:overflowPunct/>
        <w:topLinePunct w:val="0"/>
        <w:autoSpaceDE/>
        <w:autoSpaceDN/>
        <w:bidi w:val="0"/>
        <w:adjustRightInd/>
        <w:snapToGrid/>
        <w:spacing w:line="520" w:lineRule="exact"/>
        <w:ind w:right="272"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w:t>
      </w:r>
      <w:r>
        <w:rPr>
          <w:rFonts w:hint="eastAsia"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考场内所有考生全程佩戴口罩（戴一次性使用医用口罩或以上防护等级口罩，自备），口罩弄湿或弄脏后，需及时更换。</w:t>
      </w:r>
    </w:p>
    <w:p>
      <w:pPr>
        <w:pStyle w:val="3"/>
        <w:keepNext w:val="0"/>
        <w:keepLines w:val="0"/>
        <w:pageBreakBefore w:val="0"/>
        <w:widowControl w:val="0"/>
        <w:kinsoku/>
        <w:wordWrap/>
        <w:overflowPunct/>
        <w:topLinePunct w:val="0"/>
        <w:autoSpaceDE/>
        <w:autoSpaceDN/>
        <w:bidi w:val="0"/>
        <w:adjustRightInd/>
        <w:snapToGrid/>
        <w:spacing w:line="520" w:lineRule="exact"/>
        <w:ind w:right="272"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7</w:t>
      </w:r>
      <w:r>
        <w:rPr>
          <w:rFonts w:hint="eastAsia"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考前请保持良好卫生习惯与作息规律，做好个人防护，减少人员接触，根据气温变化增减衣物以预防感冒。</w:t>
      </w:r>
    </w:p>
    <w:p>
      <w:pPr>
        <w:pStyle w:val="3"/>
        <w:keepNext w:val="0"/>
        <w:keepLines w:val="0"/>
        <w:pageBreakBefore w:val="0"/>
        <w:widowControl w:val="0"/>
        <w:kinsoku/>
        <w:wordWrap/>
        <w:overflowPunct/>
        <w:topLinePunct w:val="0"/>
        <w:autoSpaceDE/>
        <w:autoSpaceDN/>
        <w:bidi w:val="0"/>
        <w:adjustRightInd/>
        <w:snapToGrid/>
        <w:spacing w:line="520" w:lineRule="exact"/>
        <w:ind w:right="272"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8</w:t>
      </w:r>
      <w:r>
        <w:rPr>
          <w:rFonts w:hint="eastAsia"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考试期间有身体不适症状的人员要主动报告考试机构及当地疫情防控部门，因个人原因需要接受健康检测或需要转移到隔离考场而耽误的考试时间不予补充。</w:t>
      </w:r>
    </w:p>
    <w:p>
      <w:pPr>
        <w:pStyle w:val="3"/>
        <w:keepNext w:val="0"/>
        <w:keepLines w:val="0"/>
        <w:pageBreakBefore w:val="0"/>
        <w:widowControl w:val="0"/>
        <w:kinsoku/>
        <w:wordWrap/>
        <w:overflowPunct/>
        <w:topLinePunct w:val="0"/>
        <w:autoSpaceDE/>
        <w:autoSpaceDN/>
        <w:bidi w:val="0"/>
        <w:adjustRightInd/>
        <w:snapToGrid/>
        <w:spacing w:line="520" w:lineRule="exact"/>
        <w:ind w:right="272" w:firstLine="640" w:firstLineChars="200"/>
        <w:jc w:val="both"/>
        <w:textAlignment w:val="auto"/>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9</w:t>
      </w:r>
      <w:r>
        <w:rPr>
          <w:rFonts w:hint="eastAsia"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r>
        <w:rPr>
          <w:rFonts w:hint="eastAsia" w:ascii="Times New Roman" w:hAnsi="Times New Roman" w:cs="Times New Roman"/>
          <w:color w:val="000000" w:themeColor="text1"/>
          <w:sz w:val="32"/>
          <w:szCs w:val="32"/>
          <w:lang w:eastAsia="zh-CN"/>
          <w14:textFill>
            <w14:solidFill>
              <w14:schemeClr w14:val="tx1"/>
            </w14:solidFill>
          </w14:textFill>
        </w:rPr>
        <w:t>。</w:t>
      </w:r>
    </w:p>
    <w:p>
      <w:pPr>
        <w:pStyle w:val="3"/>
        <w:keepNext w:val="0"/>
        <w:keepLines w:val="0"/>
        <w:pageBreakBefore w:val="0"/>
        <w:widowControl w:val="0"/>
        <w:kinsoku/>
        <w:wordWrap/>
        <w:overflowPunct/>
        <w:topLinePunct w:val="0"/>
        <w:autoSpaceDE/>
        <w:autoSpaceDN/>
        <w:bidi w:val="0"/>
        <w:adjustRightInd/>
        <w:snapToGrid/>
        <w:spacing w:line="520" w:lineRule="exact"/>
        <w:ind w:right="272"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10</w:t>
      </w:r>
      <w:r>
        <w:rPr>
          <w:rFonts w:hint="eastAsia"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请自觉遵守相关防疫要求和属地人员管控政策。凡隐瞒或谎报旅居史、接触史、健康状况等疫情防控重点信息，不配合工作人员进行防疫检测、询问等造成不良后果的，终止其考试并依法追究法律责任。</w:t>
      </w:r>
    </w:p>
    <w:p>
      <w:pPr>
        <w:pStyle w:val="3"/>
        <w:keepNext w:val="0"/>
        <w:keepLines w:val="0"/>
        <w:pageBreakBefore w:val="0"/>
        <w:widowControl w:val="0"/>
        <w:kinsoku/>
        <w:wordWrap/>
        <w:overflowPunct/>
        <w:topLinePunct w:val="0"/>
        <w:autoSpaceDE/>
        <w:autoSpaceDN/>
        <w:bidi w:val="0"/>
        <w:adjustRightInd/>
        <w:snapToGrid/>
        <w:spacing w:line="520" w:lineRule="exact"/>
        <w:ind w:right="272" w:firstLine="640" w:firstLineChars="200"/>
        <w:jc w:val="both"/>
        <w:textAlignment w:val="auto"/>
        <w:rPr>
          <w:rFonts w:hint="default" w:ascii="Times New Roman" w:hAnsi="Times New Roman" w:eastAsia="仿宋" w:cs="Times New Roman"/>
          <w:b w:val="0"/>
          <w:bCs w:val="0"/>
          <w:color w:val="auto"/>
          <w:kern w:val="2"/>
          <w:sz w:val="32"/>
          <w:szCs w:val="32"/>
          <w:lang w:val="en-US" w:eastAsia="zh-CN" w:bidi="ar-SA"/>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11</w:t>
      </w:r>
      <w:r>
        <w:rPr>
          <w:rFonts w:hint="eastAsia"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32"/>
          <w:szCs w:val="32"/>
          <w14:textFill>
            <w14:solidFill>
              <w14:schemeClr w14:val="tx1"/>
            </w14:solidFill>
          </w14:textFill>
        </w:rPr>
        <w:t>疫情防控政策有进一步规定的，以最新发布为准。请考生密切关注</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合肥市瑶海区人民政府网（www.hfyaohai.gov.cn）、</w:t>
      </w:r>
      <w:r>
        <w:rPr>
          <w:rFonts w:hint="default" w:ascii="Times New Roman" w:hAnsi="Times New Roman" w:eastAsia="仿宋" w:cs="Times New Roman"/>
          <w:b w:val="0"/>
          <w:bCs w:val="0"/>
          <w:color w:val="auto"/>
          <w:kern w:val="2"/>
          <w:sz w:val="32"/>
          <w:szCs w:val="32"/>
          <w:lang w:val="en-US" w:eastAsia="zh-CN" w:bidi="ar-SA"/>
        </w:rPr>
        <w:t>皖信人力标准化招聘笔试网（http://wxpta.ahwxhr.com/）</w:t>
      </w:r>
      <w:r>
        <w:rPr>
          <w:rFonts w:hint="eastAsia" w:ascii="Times New Roman" w:hAnsi="Times New Roman" w:eastAsia="仿宋" w:cs="Times New Roman"/>
          <w:b w:val="0"/>
          <w:bCs w:val="0"/>
          <w:color w:val="auto"/>
          <w:kern w:val="2"/>
          <w:sz w:val="32"/>
          <w:szCs w:val="32"/>
          <w:lang w:val="en-US" w:eastAsia="zh-CN" w:bidi="ar-SA"/>
        </w:rPr>
        <w:t>。</w:t>
      </w:r>
    </w:p>
    <w:p>
      <w:pPr>
        <w:ind w:left="319" w:leftChars="152" w:firstLine="640" w:firstLineChars="200"/>
        <w:jc w:val="both"/>
        <w:rPr>
          <w:rFonts w:hint="eastAsia" w:ascii="仿宋_GB2312" w:hAnsi="仿宋_GB2312" w:eastAsia="仿宋_GB2312" w:cs="仿宋_GB2312"/>
          <w:color w:val="auto"/>
          <w:sz w:val="32"/>
          <w:szCs w:val="32"/>
          <w:lang w:eastAsia="zh-CN"/>
        </w:rPr>
      </w:pPr>
    </w:p>
    <w:p>
      <w:pPr>
        <w:rPr>
          <w:color w:val="000000" w:themeColor="text1"/>
          <w14:textFill>
            <w14:solidFill>
              <w14:schemeClr w14:val="tx1"/>
            </w14:solidFill>
          </w14:textFill>
        </w:rPr>
      </w:pPr>
    </w:p>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4"/>
                              <w:szCs w:val="36"/>
                            </w:rPr>
                          </w:pPr>
                          <w:r>
                            <w:rPr>
                              <w:rFonts w:hint="eastAsia" w:ascii="宋体" w:hAnsi="宋体" w:eastAsia="宋体" w:cs="宋体"/>
                              <w:sz w:val="24"/>
                              <w:szCs w:val="36"/>
                            </w:rPr>
                            <w:t xml:space="preserve">— </w:t>
                          </w:r>
                          <w:r>
                            <w:rPr>
                              <w:rFonts w:hint="eastAsia" w:ascii="宋体" w:hAnsi="宋体" w:eastAsia="宋体" w:cs="宋体"/>
                              <w:sz w:val="24"/>
                              <w:szCs w:val="36"/>
                            </w:rPr>
                            <w:fldChar w:fldCharType="begin"/>
                          </w:r>
                          <w:r>
                            <w:rPr>
                              <w:rFonts w:hint="eastAsia" w:ascii="宋体" w:hAnsi="宋体" w:eastAsia="宋体" w:cs="宋体"/>
                              <w:sz w:val="24"/>
                              <w:szCs w:val="36"/>
                            </w:rPr>
                            <w:instrText xml:space="preserve"> PAGE  \* MERGEFORMAT </w:instrText>
                          </w:r>
                          <w:r>
                            <w:rPr>
                              <w:rFonts w:hint="eastAsia" w:ascii="宋体" w:hAnsi="宋体" w:eastAsia="宋体" w:cs="宋体"/>
                              <w:sz w:val="24"/>
                              <w:szCs w:val="36"/>
                            </w:rPr>
                            <w:fldChar w:fldCharType="separate"/>
                          </w:r>
                          <w:r>
                            <w:rPr>
                              <w:rFonts w:hint="eastAsia" w:ascii="宋体" w:hAnsi="宋体" w:eastAsia="宋体" w:cs="宋体"/>
                              <w:sz w:val="24"/>
                              <w:szCs w:val="36"/>
                            </w:rPr>
                            <w:t>1</w:t>
                          </w:r>
                          <w:r>
                            <w:rPr>
                              <w:rFonts w:hint="eastAsia" w:ascii="宋体" w:hAnsi="宋体" w:eastAsia="宋体" w:cs="宋体"/>
                              <w:sz w:val="24"/>
                              <w:szCs w:val="36"/>
                            </w:rPr>
                            <w:fldChar w:fldCharType="end"/>
                          </w:r>
                          <w:r>
                            <w:rPr>
                              <w:rFonts w:hint="eastAsia" w:ascii="宋体" w:hAnsi="宋体" w:eastAsia="宋体" w:cs="宋体"/>
                              <w:sz w:val="24"/>
                              <w:szCs w:val="36"/>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eastAsia" w:ascii="宋体" w:hAnsi="宋体" w:eastAsia="宋体" w:cs="宋体"/>
                        <w:sz w:val="24"/>
                        <w:szCs w:val="36"/>
                      </w:rPr>
                    </w:pPr>
                    <w:r>
                      <w:rPr>
                        <w:rFonts w:hint="eastAsia" w:ascii="宋体" w:hAnsi="宋体" w:eastAsia="宋体" w:cs="宋体"/>
                        <w:sz w:val="24"/>
                        <w:szCs w:val="36"/>
                      </w:rPr>
                      <w:t xml:space="preserve">— </w:t>
                    </w:r>
                    <w:r>
                      <w:rPr>
                        <w:rFonts w:hint="eastAsia" w:ascii="宋体" w:hAnsi="宋体" w:eastAsia="宋体" w:cs="宋体"/>
                        <w:sz w:val="24"/>
                        <w:szCs w:val="36"/>
                      </w:rPr>
                      <w:fldChar w:fldCharType="begin"/>
                    </w:r>
                    <w:r>
                      <w:rPr>
                        <w:rFonts w:hint="eastAsia" w:ascii="宋体" w:hAnsi="宋体" w:eastAsia="宋体" w:cs="宋体"/>
                        <w:sz w:val="24"/>
                        <w:szCs w:val="36"/>
                      </w:rPr>
                      <w:instrText xml:space="preserve"> PAGE  \* MERGEFORMAT </w:instrText>
                    </w:r>
                    <w:r>
                      <w:rPr>
                        <w:rFonts w:hint="eastAsia" w:ascii="宋体" w:hAnsi="宋体" w:eastAsia="宋体" w:cs="宋体"/>
                        <w:sz w:val="24"/>
                        <w:szCs w:val="36"/>
                      </w:rPr>
                      <w:fldChar w:fldCharType="separate"/>
                    </w:r>
                    <w:r>
                      <w:rPr>
                        <w:rFonts w:hint="eastAsia" w:ascii="宋体" w:hAnsi="宋体" w:eastAsia="宋体" w:cs="宋体"/>
                        <w:sz w:val="24"/>
                        <w:szCs w:val="36"/>
                      </w:rPr>
                      <w:t>1</w:t>
                    </w:r>
                    <w:r>
                      <w:rPr>
                        <w:rFonts w:hint="eastAsia" w:ascii="宋体" w:hAnsi="宋体" w:eastAsia="宋体" w:cs="宋体"/>
                        <w:sz w:val="24"/>
                        <w:szCs w:val="36"/>
                      </w:rPr>
                      <w:fldChar w:fldCharType="end"/>
                    </w:r>
                    <w:r>
                      <w:rPr>
                        <w:rFonts w:hint="eastAsia" w:ascii="宋体" w:hAnsi="宋体" w:eastAsia="宋体" w:cs="宋体"/>
                        <w:sz w:val="24"/>
                        <w:szCs w:val="36"/>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MjAzOGI1ZWM1NjI3YTE0MjIzZDIwNTMwM2NhZjEifQ=="/>
  </w:docVars>
  <w:rsids>
    <w:rsidRoot w:val="59223130"/>
    <w:rsid w:val="59223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Body Text"/>
    <w:basedOn w:val="1"/>
    <w:qFormat/>
    <w:uiPriority w:val="1"/>
    <w:pPr>
      <w:ind w:left="108"/>
    </w:pPr>
    <w:rPr>
      <w:rFonts w:ascii="仿宋_GB2312" w:hAnsi="仿宋_GB2312" w:eastAsia="仿宋_GB2312"/>
      <w:sz w:val="32"/>
      <w:szCs w:val="32"/>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2022-09-20T10:28:00Z</dcterms:created>
  <dc:creator>Mr_chen</dc:creator>
  <cp:lastModifiedBy>Mr_chen</cp:lastModifiedBy>
  <dcterms:modified xsi:type="dcterms:W3CDTF">2022-09-20T10:29:06Z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BE6671C959F841B7B3BF32ABC58D1427</vt:lpwstr>
  </property>
</Properties>
</file>